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545454"/>
          <w:sz w:val="44"/>
          <w:szCs w:val="44"/>
          <w:rtl w:val="0"/>
        </w:rPr>
      </w:pPr>
      <w:r>
        <w:rPr>
          <w:rFonts w:ascii="Times Roman"/>
          <w:color w:val="545454"/>
          <w:sz w:val="44"/>
          <w:szCs w:val="44"/>
          <w:rtl w:val="0"/>
          <w:lang w:val="de-DE"/>
        </w:rPr>
        <w:t>Internationaler Spiel(mobil)kongress 2019 in M</w:t>
      </w:r>
      <w:r>
        <w:rPr>
          <w:rFonts w:hAnsi="Times Roman" w:hint="default"/>
          <w:color w:val="545454"/>
          <w:sz w:val="44"/>
          <w:szCs w:val="44"/>
          <w:rtl w:val="0"/>
        </w:rPr>
        <w:t>ü</w:t>
      </w:r>
      <w:r>
        <w:rPr>
          <w:rFonts w:ascii="Times Roman"/>
          <w:color w:val="545454"/>
          <w:sz w:val="44"/>
          <w:szCs w:val="44"/>
          <w:rtl w:val="0"/>
          <w:lang w:val="de-DE"/>
        </w:rPr>
        <w:t>nchen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4297ba"/>
          <w:sz w:val="28"/>
          <w:szCs w:val="28"/>
          <w:rtl w:val="0"/>
        </w:rPr>
      </w:pPr>
      <w:r>
        <w:rPr>
          <w:rFonts w:ascii="Arial" w:cs="Arial" w:hAnsi="Arial" w:eastAsia="Arial"/>
          <w:color w:val="4297ba"/>
          <w:sz w:val="28"/>
          <w:szCs w:val="28"/>
          <w:rtl w:val="0"/>
        </w:rPr>
        <w:drawing>
          <wp:inline distT="0" distB="0" distL="0" distR="0">
            <wp:extent cx="3810000" cy="2540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iel_alle_inklusive-300x200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r>
        <w:rPr>
          <w:rFonts w:ascii="Arial"/>
          <w:color w:val="545454"/>
          <w:sz w:val="28"/>
          <w:szCs w:val="28"/>
          <w:rtl w:val="0"/>
          <w:lang w:val="de-DE"/>
        </w:rPr>
        <w:t xml:space="preserve">Mehr als </w:t>
      </w:r>
      <w:r>
        <w:rPr>
          <w:rFonts w:hAnsi="Arial" w:hint="default"/>
          <w:color w:val="545454"/>
          <w:sz w:val="28"/>
          <w:szCs w:val="28"/>
          <w:rtl w:val="0"/>
        </w:rPr>
        <w:t>„</w:t>
      </w:r>
      <w:r>
        <w:rPr>
          <w:rFonts w:ascii="Arial"/>
          <w:color w:val="545454"/>
          <w:sz w:val="28"/>
          <w:szCs w:val="28"/>
          <w:rtl w:val="0"/>
        </w:rPr>
        <w:t>alle(s) inklusive</w:t>
      </w:r>
      <w:r>
        <w:rPr>
          <w:rFonts w:hAnsi="Arial" w:hint="default"/>
          <w:color w:val="545454"/>
          <w:sz w:val="28"/>
          <w:szCs w:val="28"/>
          <w:rtl w:val="0"/>
        </w:rPr>
        <w:t xml:space="preserve">“ </w:t>
      </w:r>
      <w:r>
        <w:rPr>
          <w:rFonts w:ascii="Arial"/>
          <w:color w:val="545454"/>
          <w:sz w:val="28"/>
          <w:szCs w:val="28"/>
          <w:rtl w:val="0"/>
          <w:lang w:val="de-DE"/>
        </w:rPr>
        <w:t>kann und muss heute Spiel-, Kultur-, Kunst- und Medienp</w:t>
      </w:r>
      <w:r>
        <w:rPr>
          <w:rFonts w:hAnsi="Arial" w:hint="default"/>
          <w:color w:val="545454"/>
          <w:sz w:val="28"/>
          <w:szCs w:val="28"/>
          <w:rtl w:val="0"/>
        </w:rPr>
        <w:t>ä</w:t>
      </w:r>
      <w:r>
        <w:rPr>
          <w:rFonts w:ascii="Arial"/>
          <w:color w:val="545454"/>
          <w:sz w:val="28"/>
          <w:szCs w:val="28"/>
          <w:rtl w:val="0"/>
          <w:lang w:val="de-DE"/>
        </w:rPr>
        <w:t>dagogik sein.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r>
        <w:rPr>
          <w:rFonts w:ascii="Arial"/>
          <w:color w:val="545454"/>
          <w:sz w:val="28"/>
          <w:szCs w:val="28"/>
          <w:rtl w:val="0"/>
          <w:lang w:val="de-DE"/>
        </w:rPr>
        <w:t xml:space="preserve">Vielfalt bestimmt den Alltag des Arbeitsfeldes </w:t>
      </w:r>
      <w:r>
        <w:rPr>
          <w:rFonts w:hAnsi="Arial" w:hint="default"/>
          <w:color w:val="545454"/>
          <w:sz w:val="28"/>
          <w:szCs w:val="28"/>
          <w:rtl w:val="0"/>
        </w:rPr>
        <w:t>ü</w:t>
      </w:r>
      <w:r>
        <w:rPr>
          <w:rFonts w:ascii="Arial"/>
          <w:color w:val="545454"/>
          <w:sz w:val="28"/>
          <w:szCs w:val="28"/>
          <w:rtl w:val="0"/>
          <w:lang w:val="de-DE"/>
        </w:rPr>
        <w:t>ber real-sinnliche (und) digitalisierte Spielr</w:t>
      </w:r>
      <w:r>
        <w:rPr>
          <w:rFonts w:hAnsi="Arial" w:hint="default"/>
          <w:color w:val="545454"/>
          <w:sz w:val="28"/>
          <w:szCs w:val="28"/>
          <w:rtl w:val="0"/>
        </w:rPr>
        <w:t>ä</w:t>
      </w:r>
      <w:r>
        <w:rPr>
          <w:rFonts w:ascii="Arial"/>
          <w:color w:val="545454"/>
          <w:sz w:val="28"/>
          <w:szCs w:val="28"/>
          <w:rtl w:val="0"/>
          <w:lang w:val="de-DE"/>
        </w:rPr>
        <w:t>ume hinweg. Unsere Herkunft bestimmt die Zukunft, sowohl die von Kindern und Jugendlichen als die unserer P</w:t>
      </w:r>
      <w:r>
        <w:rPr>
          <w:rFonts w:hAnsi="Arial" w:hint="default"/>
          <w:color w:val="545454"/>
          <w:sz w:val="28"/>
          <w:szCs w:val="28"/>
          <w:rtl w:val="0"/>
        </w:rPr>
        <w:t>ä</w:t>
      </w:r>
      <w:r>
        <w:rPr>
          <w:rFonts w:ascii="Arial"/>
          <w:color w:val="545454"/>
          <w:sz w:val="28"/>
          <w:szCs w:val="28"/>
          <w:rtl w:val="0"/>
          <w:lang w:val="de-DE"/>
        </w:rPr>
        <w:t>dagogik. Rasche gesellschaftliche und politische Entwicklungen verlangen neue Definitionen von Qualit</w:t>
      </w:r>
      <w:r>
        <w:rPr>
          <w:rFonts w:hAnsi="Arial" w:hint="default"/>
          <w:color w:val="545454"/>
          <w:sz w:val="28"/>
          <w:szCs w:val="28"/>
          <w:rtl w:val="0"/>
        </w:rPr>
        <w:t>ä</w:t>
      </w:r>
      <w:r>
        <w:rPr>
          <w:rFonts w:ascii="Arial"/>
          <w:color w:val="545454"/>
          <w:sz w:val="28"/>
          <w:szCs w:val="28"/>
          <w:rtl w:val="0"/>
          <w:lang w:val="de-DE"/>
        </w:rPr>
        <w:t>t und laufende Professionalisierung der Akteure in Theorie und Praxis. Dabei ver</w:t>
      </w:r>
      <w:r>
        <w:rPr>
          <w:rFonts w:hAnsi="Arial" w:hint="default"/>
          <w:color w:val="545454"/>
          <w:sz w:val="28"/>
          <w:szCs w:val="28"/>
          <w:rtl w:val="0"/>
        </w:rPr>
        <w:t>ä</w:t>
      </w:r>
      <w:r>
        <w:rPr>
          <w:rFonts w:ascii="Arial"/>
          <w:color w:val="545454"/>
          <w:sz w:val="28"/>
          <w:szCs w:val="28"/>
          <w:rtl w:val="0"/>
          <w:lang w:val="de-DE"/>
        </w:rPr>
        <w:t>ndern sich Ressourcen wie Zeit, (Frei)Raum, Partner und Mittel.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r>
        <w:rPr>
          <w:rFonts w:ascii="Arial"/>
          <w:color w:val="545454"/>
          <w:sz w:val="28"/>
          <w:szCs w:val="28"/>
          <w:rtl w:val="0"/>
          <w:lang w:val="de-DE"/>
        </w:rPr>
        <w:t>Zum 30. Geburtstag der Kinderrechte stellt sich der Kongress die Frage, wie wir ganz aktuell in der Zusammenarbeit von Praxis, Institution und Politik das Recht auf Spiel, Bildung und Gesundheit f</w:t>
      </w:r>
      <w:r>
        <w:rPr>
          <w:rFonts w:hAnsi="Arial" w:hint="default"/>
          <w:color w:val="545454"/>
          <w:sz w:val="28"/>
          <w:szCs w:val="28"/>
          <w:rtl w:val="0"/>
        </w:rPr>
        <w:t>ü</w:t>
      </w:r>
      <w:r>
        <w:rPr>
          <w:rFonts w:ascii="Arial"/>
          <w:color w:val="545454"/>
          <w:sz w:val="28"/>
          <w:szCs w:val="28"/>
          <w:rtl w:val="0"/>
          <w:lang w:val="de-DE"/>
        </w:rPr>
        <w:t>r alle (Menschen) zeitgem</w:t>
      </w:r>
      <w:r>
        <w:rPr>
          <w:rFonts w:hAnsi="Arial" w:hint="default"/>
          <w:color w:val="545454"/>
          <w:sz w:val="28"/>
          <w:szCs w:val="28"/>
          <w:rtl w:val="0"/>
          <w:lang w:val="de-DE"/>
        </w:rPr>
        <w:t xml:space="preserve">äß </w:t>
      </w:r>
      <w:r>
        <w:rPr>
          <w:rFonts w:ascii="Arial"/>
          <w:color w:val="545454"/>
          <w:sz w:val="28"/>
          <w:szCs w:val="28"/>
          <w:rtl w:val="0"/>
          <w:lang w:val="de-DE"/>
        </w:rPr>
        <w:t>und zukunftsorientiert erf</w:t>
      </w:r>
      <w:r>
        <w:rPr>
          <w:rFonts w:hAnsi="Arial" w:hint="default"/>
          <w:color w:val="545454"/>
          <w:sz w:val="28"/>
          <w:szCs w:val="28"/>
          <w:rtl w:val="0"/>
        </w:rPr>
        <w:t>ü</w:t>
      </w:r>
      <w:r>
        <w:rPr>
          <w:rFonts w:ascii="Arial"/>
          <w:color w:val="545454"/>
          <w:sz w:val="28"/>
          <w:szCs w:val="28"/>
          <w:rtl w:val="0"/>
        </w:rPr>
        <w:t>llen k</w:t>
      </w:r>
      <w:r>
        <w:rPr>
          <w:rFonts w:hAnsi="Arial" w:hint="default"/>
          <w:color w:val="545454"/>
          <w:sz w:val="28"/>
          <w:szCs w:val="28"/>
          <w:rtl w:val="0"/>
        </w:rPr>
        <w:t>ö</w:t>
      </w:r>
      <w:r>
        <w:rPr>
          <w:rFonts w:ascii="Arial"/>
          <w:color w:val="545454"/>
          <w:sz w:val="28"/>
          <w:szCs w:val="28"/>
          <w:rtl w:val="0"/>
        </w:rPr>
        <w:t>nnen.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r>
        <w:rPr>
          <w:rFonts w:ascii="Arial"/>
          <w:color w:val="545454"/>
          <w:sz w:val="28"/>
          <w:szCs w:val="28"/>
          <w:rtl w:val="0"/>
          <w:lang w:val="de-DE"/>
        </w:rPr>
        <w:t xml:space="preserve">Lokale, nationale und internationale Akteure aus der Spielpraxis und -theorie tauschen sich im Rahmen eines Fachtags </w:t>
      </w:r>
      <w:r>
        <w:rPr>
          <w:rFonts w:hAnsi="Arial" w:hint="default"/>
          <w:color w:val="545454"/>
          <w:sz w:val="28"/>
          <w:szCs w:val="28"/>
          <w:rtl w:val="0"/>
        </w:rPr>
        <w:t>ü</w:t>
      </w:r>
      <w:r>
        <w:rPr>
          <w:rFonts w:ascii="Arial"/>
          <w:color w:val="545454"/>
          <w:sz w:val="28"/>
          <w:szCs w:val="28"/>
          <w:rtl w:val="0"/>
          <w:lang w:val="de-DE"/>
        </w:rPr>
        <w:t>ber alle Ebenen hinweg aus, formulieren L</w:t>
      </w:r>
      <w:r>
        <w:rPr>
          <w:rFonts w:hAnsi="Arial" w:hint="default"/>
          <w:color w:val="545454"/>
          <w:sz w:val="28"/>
          <w:szCs w:val="28"/>
          <w:rtl w:val="0"/>
        </w:rPr>
        <w:t>ö</w:t>
      </w:r>
      <w:r>
        <w:rPr>
          <w:rFonts w:ascii="Arial"/>
          <w:color w:val="545454"/>
          <w:sz w:val="28"/>
          <w:szCs w:val="28"/>
          <w:rtl w:val="0"/>
          <w:lang w:val="de-DE"/>
        </w:rPr>
        <w:t>sungsans</w:t>
      </w:r>
      <w:r>
        <w:rPr>
          <w:rFonts w:hAnsi="Arial" w:hint="default"/>
          <w:color w:val="545454"/>
          <w:sz w:val="28"/>
          <w:szCs w:val="28"/>
          <w:rtl w:val="0"/>
        </w:rPr>
        <w:t>ä</w:t>
      </w:r>
      <w:r>
        <w:rPr>
          <w:rFonts w:ascii="Arial"/>
          <w:color w:val="545454"/>
          <w:sz w:val="28"/>
          <w:szCs w:val="28"/>
          <w:rtl w:val="0"/>
          <w:lang w:val="de-DE"/>
        </w:rPr>
        <w:t xml:space="preserve">tze, erproben Praxis in Workshops und gehen im Rahmen eines Spielfestes </w:t>
      </w:r>
      <w:r>
        <w:rPr>
          <w:rFonts w:hAnsi="Arial" w:hint="default"/>
          <w:color w:val="545454"/>
          <w:sz w:val="28"/>
          <w:szCs w:val="28"/>
          <w:rtl w:val="0"/>
        </w:rPr>
        <w:t>„</w:t>
      </w:r>
      <w:r>
        <w:rPr>
          <w:rFonts w:ascii="Arial"/>
          <w:color w:val="545454"/>
          <w:sz w:val="28"/>
          <w:szCs w:val="28"/>
          <w:rtl w:val="0"/>
          <w:lang w:val="de-DE"/>
        </w:rPr>
        <w:t>nach Drau</w:t>
      </w:r>
      <w:r>
        <w:rPr>
          <w:rFonts w:hAnsi="Arial" w:hint="default"/>
          <w:color w:val="545454"/>
          <w:sz w:val="28"/>
          <w:szCs w:val="28"/>
          <w:rtl w:val="0"/>
          <w:lang w:val="de-DE"/>
        </w:rPr>
        <w:t>ß</w:t>
      </w:r>
      <w:r>
        <w:rPr>
          <w:rFonts w:ascii="Arial"/>
          <w:color w:val="545454"/>
          <w:sz w:val="28"/>
          <w:szCs w:val="28"/>
          <w:rtl w:val="0"/>
        </w:rPr>
        <w:t>en</w:t>
      </w:r>
      <w:r>
        <w:rPr>
          <w:rFonts w:hAnsi="Arial" w:hint="default"/>
          <w:color w:val="545454"/>
          <w:sz w:val="28"/>
          <w:szCs w:val="28"/>
          <w:rtl w:val="0"/>
        </w:rPr>
        <w:t>“</w:t>
      </w:r>
      <w:r>
        <w:rPr>
          <w:rFonts w:ascii="Arial"/>
          <w:color w:val="545454"/>
          <w:sz w:val="28"/>
          <w:szCs w:val="28"/>
          <w:rtl w:val="0"/>
        </w:rPr>
        <w:t>!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r>
        <w:rPr>
          <w:rFonts w:ascii="Arial"/>
          <w:b w:val="1"/>
          <w:bCs w:val="1"/>
          <w:color w:val="545454"/>
          <w:sz w:val="28"/>
          <w:szCs w:val="28"/>
          <w:rtl w:val="0"/>
          <w:lang w:val="de-DE"/>
        </w:rPr>
        <w:t>Zeitraum:</w:t>
      </w:r>
      <w:r>
        <w:rPr>
          <w:rFonts w:ascii="Arial"/>
          <w:color w:val="545454"/>
          <w:sz w:val="28"/>
          <w:szCs w:val="28"/>
          <w:rtl w:val="0"/>
          <w:lang w:val="de-DE"/>
        </w:rPr>
        <w:t xml:space="preserve"> 10. bis 13. Oktober 2019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545454"/>
          <w:sz w:val="28"/>
          <w:szCs w:val="28"/>
          <w:rtl w:val="0"/>
        </w:rPr>
      </w:pPr>
      <w:r>
        <w:rPr>
          <w:rFonts w:ascii="Arial"/>
          <w:b w:val="1"/>
          <w:bCs w:val="1"/>
          <w:color w:val="545454"/>
          <w:sz w:val="28"/>
          <w:szCs w:val="28"/>
          <w:rtl w:val="0"/>
          <w:lang w:val="de-DE"/>
        </w:rPr>
        <w:t>Veranstalter: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hyperlink r:id="rId5" w:history="1">
        <w:r>
          <w:rPr>
            <w:rStyle w:val="Hyperlink.0"/>
            <w:rFonts w:ascii="Arial"/>
            <w:color w:val="4297ba"/>
            <w:sz w:val="28"/>
            <w:szCs w:val="28"/>
            <w:rtl w:val="0"/>
            <w:lang w:val="de-DE"/>
          </w:rPr>
          <w:t>Spiellandschaft Stadt e.V.</w:t>
        </w:r>
      </w:hyperlink>
      <w:r>
        <w:rPr>
          <w:rFonts w:ascii="Arial"/>
          <w:color w:val="545454"/>
          <w:sz w:val="28"/>
          <w:szCs w:val="28"/>
          <w:rtl w:val="0"/>
        </w:rPr>
        <w:t>,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hyperlink r:id="rId6" w:history="1">
        <w:r>
          <w:rPr>
            <w:rStyle w:val="Hyperlink.1"/>
            <w:rFonts w:ascii="Arial"/>
            <w:color w:val="4297ba"/>
            <w:sz w:val="28"/>
            <w:szCs w:val="28"/>
            <w:rtl w:val="0"/>
          </w:rPr>
          <w:t>PA/SPIELkultur e.V.</w:t>
        </w:r>
      </w:hyperlink>
      <w:r>
        <w:rPr>
          <w:rFonts w:ascii="Arial"/>
          <w:color w:val="545454"/>
          <w:sz w:val="28"/>
          <w:szCs w:val="28"/>
          <w:rtl w:val="0"/>
        </w:rPr>
        <w:t>,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hyperlink r:id="rId7" w:history="1">
        <w:r>
          <w:rPr>
            <w:rStyle w:val="Hyperlink.2"/>
            <w:rFonts w:ascii="Arial"/>
            <w:color w:val="4297ba"/>
            <w:sz w:val="28"/>
            <w:szCs w:val="28"/>
            <w:rtl w:val="0"/>
            <w:lang w:val="es-ES_tradnl"/>
          </w:rPr>
          <w:t>Echo e.V.</w:t>
        </w:r>
      </w:hyperlink>
      <w:r>
        <w:rPr>
          <w:rFonts w:ascii="Arial"/>
          <w:color w:val="545454"/>
          <w:sz w:val="28"/>
          <w:szCs w:val="28"/>
          <w:rtl w:val="0"/>
        </w:rPr>
        <w:t>,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545454"/>
          <w:sz w:val="28"/>
          <w:szCs w:val="28"/>
          <w:rtl w:val="0"/>
        </w:rPr>
      </w:pPr>
      <w:hyperlink r:id="rId8" w:history="1">
        <w:r>
          <w:rPr>
            <w:rStyle w:val="Hyperlink.3"/>
            <w:rFonts w:ascii="Arial"/>
            <w:color w:val="4297ba"/>
            <w:sz w:val="28"/>
            <w:szCs w:val="28"/>
            <w:rtl w:val="0"/>
            <w:lang w:val="de-DE"/>
          </w:rPr>
          <w:t>Spielmobile e.V.</w:t>
        </w:r>
      </w:hyperlink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545454"/>
          <w:sz w:val="28"/>
          <w:szCs w:val="28"/>
          <w:rtl w:val="0"/>
        </w:rPr>
      </w:pPr>
      <w:r>
        <w:rPr>
          <w:rFonts w:ascii="Arial"/>
          <w:b w:val="1"/>
          <w:bCs w:val="1"/>
          <w:color w:val="7f0d00"/>
          <w:sz w:val="28"/>
          <w:szCs w:val="28"/>
          <w:rtl w:val="0"/>
          <w:lang w:val="de-DE"/>
        </w:rPr>
        <w:t>Zum Kongress erfolgt eine eigene Programmausschreibung.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Arial"/>
          <w:b w:val="1"/>
          <w:bCs w:val="1"/>
          <w:color w:val="7f0d00"/>
          <w:sz w:val="28"/>
          <w:szCs w:val="28"/>
          <w:rtl w:val="0"/>
          <w:lang w:val="de-DE"/>
        </w:rPr>
        <w:t>Weitere Informationen unter fortbildung@spiellandschaft.de</w:t>
      </w:r>
      <w:r>
        <w:rPr>
          <w:rFonts w:ascii="Arial" w:cs="Arial" w:hAnsi="Arial" w:eastAsia="Arial"/>
          <w:b w:val="0"/>
          <w:bCs w:val="0"/>
          <w:color w:val="545454"/>
          <w:sz w:val="28"/>
          <w:szCs w:val="28"/>
          <w:rtl w:val="0"/>
        </w:rPr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s://spiellandschaft.de/" TargetMode="External"/><Relationship Id="rId6" Type="http://schemas.openxmlformats.org/officeDocument/2006/relationships/hyperlink" Target="https://www.spielkultur.de/" TargetMode="External"/><Relationship Id="rId7" Type="http://schemas.openxmlformats.org/officeDocument/2006/relationships/hyperlink" Target="https://echoev.de/" TargetMode="External"/><Relationship Id="rId8" Type="http://schemas.openxmlformats.org/officeDocument/2006/relationships/hyperlink" Target="https://spielmobile.d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